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DC" w:rsidRPr="006B00B8" w:rsidRDefault="005C7BDC" w:rsidP="005C7BDC">
      <w:pPr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5C7BDC" w:rsidRPr="001A5606" w:rsidRDefault="005C7BDC" w:rsidP="005C7BDC">
      <w:pPr>
        <w:jc w:val="center"/>
        <w:rPr>
          <w:b/>
          <w:sz w:val="32"/>
          <w:szCs w:val="32"/>
        </w:rPr>
      </w:pPr>
      <w:r w:rsidRPr="001A5606">
        <w:rPr>
          <w:b/>
          <w:sz w:val="32"/>
          <w:szCs w:val="32"/>
        </w:rPr>
        <w:t>报名回执</w:t>
      </w:r>
      <w:r w:rsidRPr="001A5606">
        <w:rPr>
          <w:b/>
          <w:sz w:val="32"/>
          <w:szCs w:val="32"/>
        </w:rPr>
        <w:t>:</w:t>
      </w:r>
      <w:r w:rsidRPr="001A5606">
        <w:rPr>
          <w:rFonts w:hint="eastAsia"/>
          <w:b/>
          <w:sz w:val="32"/>
          <w:szCs w:val="32"/>
        </w:rPr>
        <w:t>（请打勾</w:t>
      </w:r>
      <w:r w:rsidRPr="001A5606">
        <w:rPr>
          <w:b/>
          <w:sz w:val="32"/>
          <w:szCs w:val="32"/>
        </w:rPr>
        <w:sym w:font="Wingdings 2" w:char="F052"/>
      </w:r>
      <w:r w:rsidRPr="001A5606">
        <w:rPr>
          <w:rFonts w:hint="eastAsia"/>
          <w:b/>
          <w:sz w:val="32"/>
          <w:szCs w:val="32"/>
        </w:rPr>
        <w:t>）</w:t>
      </w:r>
    </w:p>
    <w:tbl>
      <w:tblPr>
        <w:tblStyle w:val="a5"/>
        <w:tblW w:w="4833" w:type="pct"/>
        <w:jc w:val="center"/>
        <w:tblLook w:val="04A0" w:firstRow="1" w:lastRow="0" w:firstColumn="1" w:lastColumn="0" w:noHBand="0" w:noVBand="1"/>
      </w:tblPr>
      <w:tblGrid>
        <w:gridCol w:w="605"/>
        <w:gridCol w:w="692"/>
        <w:gridCol w:w="952"/>
        <w:gridCol w:w="761"/>
        <w:gridCol w:w="1331"/>
        <w:gridCol w:w="1949"/>
        <w:gridCol w:w="1947"/>
      </w:tblGrid>
      <w:tr w:rsidR="005C7BDC" w:rsidRPr="00457025" w:rsidTr="000F2FB1">
        <w:trPr>
          <w:jc w:val="center"/>
        </w:trPr>
        <w:tc>
          <w:tcPr>
            <w:tcW w:w="367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  <w:r w:rsidRPr="00457025">
              <w:rPr>
                <w:rFonts w:ascii="Times New Roman" w:hAnsi="Times New Roman" w:cs="Times New Roman" w:hint="eastAsia"/>
                <w:color w:val="333333"/>
                <w:sz w:val="21"/>
              </w:rPr>
              <w:t>姓名</w:t>
            </w:r>
          </w:p>
        </w:tc>
        <w:tc>
          <w:tcPr>
            <w:tcW w:w="420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  <w:r w:rsidRPr="00457025">
              <w:rPr>
                <w:rFonts w:ascii="Times New Roman" w:hAnsi="Times New Roman" w:cs="Times New Roman" w:hint="eastAsia"/>
                <w:color w:val="333333"/>
                <w:sz w:val="21"/>
              </w:rPr>
              <w:t>职称</w:t>
            </w:r>
          </w:p>
        </w:tc>
        <w:tc>
          <w:tcPr>
            <w:tcW w:w="578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  <w:r w:rsidRPr="00457025">
              <w:rPr>
                <w:rFonts w:ascii="Times New Roman" w:hAnsi="Times New Roman" w:cs="Times New Roman" w:hint="eastAsia"/>
                <w:color w:val="333333"/>
                <w:sz w:val="21"/>
              </w:rPr>
              <w:t>单位</w:t>
            </w:r>
          </w:p>
        </w:tc>
        <w:tc>
          <w:tcPr>
            <w:tcW w:w="462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  <w:r w:rsidRPr="00457025">
              <w:rPr>
                <w:rFonts w:ascii="Times New Roman" w:hAnsi="Times New Roman" w:cs="Times New Roman" w:hint="eastAsia"/>
                <w:color w:val="333333"/>
                <w:sz w:val="21"/>
              </w:rPr>
              <w:t>手机号码</w:t>
            </w:r>
          </w:p>
        </w:tc>
        <w:tc>
          <w:tcPr>
            <w:tcW w:w="808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  <w:r w:rsidRPr="00457025">
              <w:rPr>
                <w:rFonts w:ascii="Times New Roman" w:hAnsi="Times New Roman" w:cs="Times New Roman" w:hint="eastAsia"/>
                <w:color w:val="333333"/>
                <w:sz w:val="21"/>
              </w:rPr>
              <w:t>邮箱</w:t>
            </w:r>
          </w:p>
        </w:tc>
        <w:tc>
          <w:tcPr>
            <w:tcW w:w="1183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  <w:r w:rsidRPr="00457025">
              <w:rPr>
                <w:rFonts w:ascii="Times New Roman" w:hAnsi="Times New Roman" w:cs="Times New Roman" w:hint="eastAsia"/>
                <w:color w:val="333333"/>
                <w:sz w:val="21"/>
              </w:rPr>
              <w:t>汇报题目</w:t>
            </w:r>
          </w:p>
        </w:tc>
        <w:tc>
          <w:tcPr>
            <w:tcW w:w="1182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  <w:r w:rsidRPr="00457025">
              <w:rPr>
                <w:rFonts w:ascii="Times New Roman" w:hAnsi="Times New Roman" w:cs="Times New Roman" w:hint="eastAsia"/>
                <w:color w:val="333333"/>
                <w:sz w:val="21"/>
              </w:rPr>
              <w:t>汇报形式</w:t>
            </w:r>
          </w:p>
        </w:tc>
      </w:tr>
      <w:tr w:rsidR="005C7BDC" w:rsidRPr="00457025" w:rsidTr="000F2FB1">
        <w:trPr>
          <w:jc w:val="center"/>
        </w:trPr>
        <w:tc>
          <w:tcPr>
            <w:tcW w:w="367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</w:p>
        </w:tc>
        <w:tc>
          <w:tcPr>
            <w:tcW w:w="420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</w:p>
        </w:tc>
        <w:tc>
          <w:tcPr>
            <w:tcW w:w="578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</w:p>
        </w:tc>
        <w:tc>
          <w:tcPr>
            <w:tcW w:w="462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</w:p>
        </w:tc>
        <w:tc>
          <w:tcPr>
            <w:tcW w:w="808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</w:p>
        </w:tc>
        <w:tc>
          <w:tcPr>
            <w:tcW w:w="1183" w:type="pct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24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</w:p>
        </w:tc>
        <w:tc>
          <w:tcPr>
            <w:tcW w:w="1182" w:type="pct"/>
            <w:vAlign w:val="center"/>
          </w:tcPr>
          <w:p w:rsidR="005C7BDC" w:rsidRPr="00457025" w:rsidRDefault="005C7BDC" w:rsidP="000F2FB1">
            <w:pPr>
              <w:pStyle w:val="a6"/>
              <w:spacing w:before="0" w:beforeAutospacing="0" w:after="90" w:afterAutospacing="0" w:line="450" w:lineRule="atLeast"/>
              <w:jc w:val="center"/>
              <w:rPr>
                <w:rFonts w:ascii="Times New Roman" w:hAnsi="Times New Roman" w:cs="Times New Roman"/>
                <w:sz w:val="21"/>
              </w:rPr>
            </w:pPr>
            <w:r w:rsidRPr="00457025">
              <w:rPr>
                <w:rFonts w:ascii="Times New Roman" w:hAnsi="Times New Roman" w:cs="Times New Roman" w:hint="eastAsia"/>
                <w:sz w:val="21"/>
              </w:rPr>
              <w:t>□口头</w:t>
            </w:r>
          </w:p>
          <w:p w:rsidR="005C7BDC" w:rsidRPr="00457025" w:rsidRDefault="005C7BDC" w:rsidP="000F2FB1">
            <w:pPr>
              <w:pStyle w:val="a6"/>
              <w:spacing w:before="0" w:beforeAutospacing="0" w:after="90" w:afterAutospacing="0" w:line="240" w:lineRule="atLeast"/>
              <w:jc w:val="center"/>
              <w:rPr>
                <w:rFonts w:ascii="Times New Roman" w:hAnsi="Times New Roman" w:cs="Times New Roman"/>
                <w:color w:val="333333"/>
                <w:sz w:val="21"/>
              </w:rPr>
            </w:pPr>
            <w:r w:rsidRPr="00457025">
              <w:rPr>
                <w:rFonts w:ascii="Times New Roman" w:hAnsi="Times New Roman" w:cs="Times New Roman" w:hint="eastAsia"/>
                <w:sz w:val="21"/>
              </w:rPr>
              <w:t>□海报</w:t>
            </w:r>
          </w:p>
        </w:tc>
      </w:tr>
    </w:tbl>
    <w:p w:rsidR="005C7BDC" w:rsidRPr="00457025" w:rsidRDefault="005C7BDC" w:rsidP="005C7BDC">
      <w:pPr>
        <w:spacing w:line="360" w:lineRule="auto"/>
      </w:pPr>
    </w:p>
    <w:p w:rsidR="005C7BDC" w:rsidRPr="00457025" w:rsidRDefault="005C7BDC" w:rsidP="005C7BDC">
      <w:pPr>
        <w:spacing w:line="360" w:lineRule="auto"/>
      </w:pPr>
    </w:p>
    <w:p w:rsidR="005C7BDC" w:rsidRPr="00457025" w:rsidRDefault="005C7BDC" w:rsidP="005C7BDC">
      <w:pPr>
        <w:autoSpaceDE w:val="0"/>
        <w:autoSpaceDN w:val="0"/>
        <w:adjustRightInd w:val="0"/>
        <w:snapToGrid w:val="0"/>
        <w:spacing w:line="300" w:lineRule="auto"/>
        <w:jc w:val="left"/>
        <w:rPr>
          <w:b/>
          <w:sz w:val="32"/>
          <w:szCs w:val="32"/>
        </w:rPr>
      </w:pPr>
      <w:r w:rsidRPr="00457025">
        <w:rPr>
          <w:rFonts w:hint="eastAsia"/>
          <w:b/>
          <w:sz w:val="32"/>
          <w:szCs w:val="32"/>
        </w:rPr>
        <w:t>中国东海日本</w:t>
      </w:r>
      <w:proofErr w:type="gramStart"/>
      <w:r w:rsidRPr="00457025">
        <w:rPr>
          <w:rFonts w:hint="eastAsia"/>
          <w:b/>
          <w:sz w:val="32"/>
          <w:szCs w:val="32"/>
        </w:rPr>
        <w:t>鲭</w:t>
      </w:r>
      <w:proofErr w:type="gramEnd"/>
      <w:r w:rsidRPr="00457025">
        <w:rPr>
          <w:rFonts w:hint="eastAsia"/>
          <w:b/>
          <w:sz w:val="32"/>
          <w:szCs w:val="32"/>
        </w:rPr>
        <w:t>生境分布的年代际变动研究（摘要模板）</w:t>
      </w:r>
    </w:p>
    <w:p w:rsidR="005C7BDC" w:rsidRPr="00457025" w:rsidRDefault="005C7BDC" w:rsidP="005C7BDC">
      <w:pPr>
        <w:autoSpaceDE w:val="0"/>
        <w:autoSpaceDN w:val="0"/>
        <w:adjustRightInd w:val="0"/>
        <w:snapToGrid w:val="0"/>
        <w:spacing w:line="300" w:lineRule="auto"/>
        <w:jc w:val="left"/>
        <w:rPr>
          <w:szCs w:val="21"/>
          <w:lang w:val="zh-CN"/>
        </w:rPr>
      </w:pPr>
      <w:proofErr w:type="gramStart"/>
      <w:r w:rsidRPr="00B35076">
        <w:rPr>
          <w:rFonts w:hint="eastAsia"/>
          <w:b/>
          <w:szCs w:val="21"/>
          <w:u w:val="single"/>
        </w:rPr>
        <w:t>温健</w:t>
      </w:r>
      <w:proofErr w:type="gramEnd"/>
      <w:r w:rsidRPr="00B35076">
        <w:rPr>
          <w:b/>
          <w:szCs w:val="21"/>
          <w:u w:val="single"/>
          <w:vertAlign w:val="superscript"/>
        </w:rPr>
        <w:t>1</w:t>
      </w:r>
      <w:r w:rsidRPr="00457025">
        <w:rPr>
          <w:rFonts w:hint="eastAsia"/>
          <w:szCs w:val="21"/>
          <w:lang w:val="zh-CN"/>
        </w:rPr>
        <w:t>，李宜锴</w:t>
      </w:r>
      <w:r w:rsidRPr="00457025">
        <w:rPr>
          <w:szCs w:val="21"/>
          <w:vertAlign w:val="superscript"/>
        </w:rPr>
        <w:t>1</w:t>
      </w:r>
      <w:r w:rsidRPr="00457025">
        <w:rPr>
          <w:rFonts w:hint="eastAsia"/>
          <w:szCs w:val="21"/>
          <w:lang w:val="zh-CN"/>
        </w:rPr>
        <w:t>，李曰</w:t>
      </w:r>
      <w:proofErr w:type="gramStart"/>
      <w:r w:rsidRPr="00457025">
        <w:rPr>
          <w:rFonts w:hint="eastAsia"/>
          <w:szCs w:val="21"/>
          <w:lang w:val="zh-CN"/>
        </w:rPr>
        <w:t>嵩</w:t>
      </w:r>
      <w:proofErr w:type="gramEnd"/>
      <w:r w:rsidRPr="00457025">
        <w:rPr>
          <w:szCs w:val="21"/>
          <w:vertAlign w:val="superscript"/>
          <w:lang w:val="zh-CN"/>
        </w:rPr>
        <w:t>1,2,3,4</w:t>
      </w:r>
      <w:r w:rsidRPr="00457025">
        <w:rPr>
          <w:rFonts w:hint="eastAsia"/>
          <w:szCs w:val="21"/>
          <w:lang w:val="zh-CN"/>
        </w:rPr>
        <w:t>，余为</w:t>
      </w:r>
      <w:r>
        <w:rPr>
          <w:szCs w:val="21"/>
          <w:vertAlign w:val="superscript"/>
          <w:lang w:val="zh-CN"/>
        </w:rPr>
        <w:t>1,2,3,4</w:t>
      </w:r>
    </w:p>
    <w:p w:rsidR="005C7BDC" w:rsidRPr="00457025" w:rsidRDefault="005C7BDC" w:rsidP="005C7BDC">
      <w:pPr>
        <w:autoSpaceDE w:val="0"/>
        <w:autoSpaceDN w:val="0"/>
        <w:adjustRightInd w:val="0"/>
        <w:snapToGrid w:val="0"/>
        <w:spacing w:line="300" w:lineRule="auto"/>
        <w:jc w:val="left"/>
        <w:rPr>
          <w:szCs w:val="21"/>
          <w:lang w:val="zh-CN"/>
        </w:rPr>
      </w:pPr>
      <w:r w:rsidRPr="00457025">
        <w:rPr>
          <w:szCs w:val="21"/>
          <w:lang w:val="zh-CN"/>
        </w:rPr>
        <w:t>1.</w:t>
      </w:r>
      <w:r w:rsidRPr="00457025">
        <w:rPr>
          <w:rFonts w:hint="eastAsia"/>
          <w:szCs w:val="21"/>
          <w:lang w:val="zh-CN"/>
        </w:rPr>
        <w:t>上海海洋大学海洋科学学院，上海</w:t>
      </w:r>
      <w:r w:rsidRPr="00457025">
        <w:rPr>
          <w:szCs w:val="21"/>
          <w:lang w:val="zh-CN"/>
        </w:rPr>
        <w:t xml:space="preserve"> 201306</w:t>
      </w:r>
      <w:r w:rsidRPr="00457025">
        <w:rPr>
          <w:rFonts w:hint="eastAsia"/>
          <w:szCs w:val="21"/>
          <w:lang w:val="zh-CN"/>
        </w:rPr>
        <w:t>；</w:t>
      </w:r>
    </w:p>
    <w:p w:rsidR="005C7BDC" w:rsidRPr="00457025" w:rsidRDefault="005C7BDC" w:rsidP="005C7BDC">
      <w:pPr>
        <w:autoSpaceDE w:val="0"/>
        <w:autoSpaceDN w:val="0"/>
        <w:adjustRightInd w:val="0"/>
        <w:snapToGrid w:val="0"/>
        <w:spacing w:line="300" w:lineRule="auto"/>
        <w:jc w:val="left"/>
        <w:rPr>
          <w:szCs w:val="21"/>
          <w:lang w:val="zh-CN"/>
        </w:rPr>
      </w:pPr>
      <w:r w:rsidRPr="00457025">
        <w:rPr>
          <w:szCs w:val="21"/>
          <w:lang w:val="zh-CN"/>
        </w:rPr>
        <w:t>2.</w:t>
      </w:r>
      <w:r w:rsidRPr="00457025">
        <w:rPr>
          <w:rFonts w:hint="eastAsia"/>
          <w:szCs w:val="21"/>
          <w:lang w:val="zh-CN"/>
        </w:rPr>
        <w:t>国家远洋渔业工程技术研究中心，上海</w:t>
      </w:r>
      <w:r w:rsidRPr="00457025">
        <w:rPr>
          <w:szCs w:val="21"/>
          <w:lang w:val="zh-CN"/>
        </w:rPr>
        <w:t xml:space="preserve"> 201306</w:t>
      </w:r>
      <w:r w:rsidRPr="00457025">
        <w:rPr>
          <w:rFonts w:hint="eastAsia"/>
          <w:szCs w:val="21"/>
          <w:lang w:val="zh-CN"/>
        </w:rPr>
        <w:t>；</w:t>
      </w:r>
    </w:p>
    <w:p w:rsidR="005C7BDC" w:rsidRPr="00457025" w:rsidRDefault="005C7BDC" w:rsidP="005C7BDC">
      <w:pPr>
        <w:autoSpaceDE w:val="0"/>
        <w:autoSpaceDN w:val="0"/>
        <w:adjustRightInd w:val="0"/>
        <w:snapToGrid w:val="0"/>
        <w:spacing w:line="300" w:lineRule="auto"/>
        <w:jc w:val="left"/>
        <w:rPr>
          <w:szCs w:val="21"/>
          <w:lang w:val="zh-CN"/>
        </w:rPr>
      </w:pPr>
      <w:r w:rsidRPr="00457025">
        <w:rPr>
          <w:szCs w:val="21"/>
          <w:lang w:val="zh-CN"/>
        </w:rPr>
        <w:t>3.</w:t>
      </w:r>
      <w:r w:rsidRPr="00457025">
        <w:rPr>
          <w:rFonts w:hint="eastAsia"/>
          <w:szCs w:val="21"/>
          <w:lang w:val="zh-CN"/>
        </w:rPr>
        <w:t>大洋渔业资源可持续开发教育部重点实验室，上海</w:t>
      </w:r>
      <w:r w:rsidRPr="00457025">
        <w:rPr>
          <w:szCs w:val="21"/>
          <w:lang w:val="zh-CN"/>
        </w:rPr>
        <w:t xml:space="preserve"> 201306</w:t>
      </w:r>
      <w:r w:rsidRPr="00457025">
        <w:rPr>
          <w:rFonts w:hint="eastAsia"/>
          <w:szCs w:val="21"/>
          <w:lang w:val="zh-CN"/>
        </w:rPr>
        <w:t>；</w:t>
      </w:r>
    </w:p>
    <w:p w:rsidR="005C7BDC" w:rsidRPr="00457025" w:rsidRDefault="005C7BDC" w:rsidP="005C7BDC">
      <w:pPr>
        <w:adjustRightInd w:val="0"/>
        <w:snapToGrid w:val="0"/>
        <w:spacing w:line="300" w:lineRule="auto"/>
        <w:rPr>
          <w:szCs w:val="21"/>
          <w:lang w:val="zh-CN"/>
        </w:rPr>
      </w:pPr>
      <w:r w:rsidRPr="00457025">
        <w:rPr>
          <w:szCs w:val="21"/>
          <w:lang w:val="zh-CN"/>
        </w:rPr>
        <w:t>4.</w:t>
      </w:r>
      <w:r w:rsidRPr="00457025">
        <w:rPr>
          <w:rFonts w:hint="eastAsia"/>
          <w:szCs w:val="21"/>
          <w:lang w:val="zh-CN"/>
        </w:rPr>
        <w:t>农业农村部大洋渔业开发重点实验室，上海</w:t>
      </w:r>
      <w:r w:rsidRPr="00457025">
        <w:rPr>
          <w:szCs w:val="21"/>
          <w:lang w:val="zh-CN"/>
        </w:rPr>
        <w:t xml:space="preserve"> 201306</w:t>
      </w:r>
    </w:p>
    <w:p w:rsidR="005C7BDC" w:rsidRPr="00457025" w:rsidRDefault="005C7BDC" w:rsidP="005C7BDC">
      <w:pPr>
        <w:adjustRightInd w:val="0"/>
        <w:snapToGrid w:val="0"/>
        <w:spacing w:line="300" w:lineRule="auto"/>
        <w:rPr>
          <w:szCs w:val="21"/>
          <w:lang w:val="zh-CN"/>
        </w:rPr>
      </w:pPr>
    </w:p>
    <w:p w:rsidR="005C7BDC" w:rsidRPr="00457025" w:rsidRDefault="005C7BDC" w:rsidP="005C7BDC">
      <w:pPr>
        <w:autoSpaceDE w:val="0"/>
        <w:autoSpaceDN w:val="0"/>
        <w:adjustRightInd w:val="0"/>
        <w:snapToGrid w:val="0"/>
        <w:spacing w:line="300" w:lineRule="auto"/>
        <w:jc w:val="left"/>
        <w:rPr>
          <w:szCs w:val="21"/>
        </w:rPr>
      </w:pPr>
      <w:r w:rsidRPr="001A5606">
        <w:rPr>
          <w:rFonts w:hint="eastAsia"/>
          <w:b/>
          <w:bCs/>
          <w:sz w:val="22"/>
          <w:szCs w:val="21"/>
        </w:rPr>
        <w:t>摘要</w:t>
      </w:r>
      <w:r w:rsidRPr="001A5606">
        <w:rPr>
          <w:rFonts w:hint="eastAsia"/>
          <w:sz w:val="22"/>
          <w:szCs w:val="21"/>
        </w:rPr>
        <w:t>：</w:t>
      </w:r>
      <w:r w:rsidRPr="00457025">
        <w:rPr>
          <w:rFonts w:hint="eastAsia"/>
          <w:szCs w:val="21"/>
        </w:rPr>
        <w:t>日本</w:t>
      </w:r>
      <w:proofErr w:type="gramStart"/>
      <w:r w:rsidRPr="00457025">
        <w:rPr>
          <w:rFonts w:hint="eastAsia"/>
          <w:szCs w:val="21"/>
        </w:rPr>
        <w:t>鲭</w:t>
      </w:r>
      <w:proofErr w:type="gramEnd"/>
      <w:r w:rsidRPr="00457025">
        <w:rPr>
          <w:rFonts w:hint="eastAsia"/>
          <w:szCs w:val="21"/>
        </w:rPr>
        <w:t>（</w:t>
      </w:r>
      <w:proofErr w:type="spellStart"/>
      <w:r w:rsidRPr="00457025">
        <w:rPr>
          <w:i/>
          <w:szCs w:val="21"/>
        </w:rPr>
        <w:t>Scomber</w:t>
      </w:r>
      <w:proofErr w:type="spellEnd"/>
      <w:r w:rsidRPr="00457025">
        <w:rPr>
          <w:i/>
          <w:szCs w:val="21"/>
        </w:rPr>
        <w:t xml:space="preserve"> </w:t>
      </w:r>
      <w:proofErr w:type="spellStart"/>
      <w:r w:rsidRPr="00457025">
        <w:rPr>
          <w:i/>
          <w:szCs w:val="21"/>
        </w:rPr>
        <w:t>japonicus</w:t>
      </w:r>
      <w:proofErr w:type="spellEnd"/>
      <w:r w:rsidRPr="00457025">
        <w:rPr>
          <w:rFonts w:hint="eastAsia"/>
          <w:szCs w:val="21"/>
        </w:rPr>
        <w:t>）为海洋中上层重要的经济鱼种，气候变化对其生境具有重要的影响。本研究依据太平洋年代</w:t>
      </w:r>
      <w:proofErr w:type="gramStart"/>
      <w:r w:rsidRPr="00457025">
        <w:rPr>
          <w:rFonts w:hint="eastAsia"/>
          <w:szCs w:val="21"/>
        </w:rPr>
        <w:t>际涛动</w:t>
      </w:r>
      <w:proofErr w:type="gramEnd"/>
      <w:r w:rsidRPr="00457025">
        <w:rPr>
          <w:rFonts w:hint="eastAsia"/>
          <w:szCs w:val="21"/>
        </w:rPr>
        <w:t>（</w:t>
      </w:r>
      <w:r w:rsidRPr="00457025">
        <w:rPr>
          <w:szCs w:val="21"/>
        </w:rPr>
        <w:t>PDO</w:t>
      </w:r>
      <w:r w:rsidRPr="00457025">
        <w:rPr>
          <w:rFonts w:hint="eastAsia"/>
          <w:szCs w:val="21"/>
        </w:rPr>
        <w:t>）指数及</w:t>
      </w:r>
      <w:r w:rsidRPr="00457025">
        <w:rPr>
          <w:szCs w:val="21"/>
        </w:rPr>
        <w:t>1977</w:t>
      </w:r>
      <w:r w:rsidRPr="00457025">
        <w:rPr>
          <w:rFonts w:ascii="宋体" w:hAnsi="宋体" w:hint="eastAsia"/>
          <w:szCs w:val="21"/>
        </w:rPr>
        <w:t>—</w:t>
      </w:r>
      <w:r w:rsidRPr="00457025">
        <w:rPr>
          <w:szCs w:val="21"/>
        </w:rPr>
        <w:t>2015</w:t>
      </w:r>
      <w:r w:rsidRPr="00457025">
        <w:rPr>
          <w:rFonts w:hint="eastAsia"/>
          <w:szCs w:val="21"/>
        </w:rPr>
        <w:t>年</w:t>
      </w:r>
      <w:r w:rsidRPr="00457025">
        <w:rPr>
          <w:szCs w:val="21"/>
        </w:rPr>
        <w:t>2.5 m</w:t>
      </w:r>
      <w:r w:rsidRPr="00457025">
        <w:rPr>
          <w:rFonts w:hint="eastAsia"/>
          <w:szCs w:val="21"/>
        </w:rPr>
        <w:t>、</w:t>
      </w:r>
      <w:r w:rsidRPr="00457025">
        <w:rPr>
          <w:szCs w:val="21"/>
        </w:rPr>
        <w:t>25 m</w:t>
      </w:r>
      <w:r w:rsidRPr="00457025">
        <w:rPr>
          <w:rFonts w:hint="eastAsia"/>
          <w:szCs w:val="21"/>
        </w:rPr>
        <w:t>、</w:t>
      </w:r>
      <w:r w:rsidRPr="00457025">
        <w:rPr>
          <w:szCs w:val="21"/>
        </w:rPr>
        <w:t>50 m</w:t>
      </w:r>
      <w:r w:rsidRPr="00457025">
        <w:rPr>
          <w:rFonts w:hint="eastAsia"/>
          <w:szCs w:val="21"/>
        </w:rPr>
        <w:t>水层温度数据，计算东海日本</w:t>
      </w:r>
      <w:proofErr w:type="gramStart"/>
      <w:r w:rsidRPr="00457025">
        <w:rPr>
          <w:rFonts w:hint="eastAsia"/>
          <w:szCs w:val="21"/>
        </w:rPr>
        <w:t>鲭</w:t>
      </w:r>
      <w:proofErr w:type="gramEnd"/>
      <w:r w:rsidRPr="00457025">
        <w:rPr>
          <w:rFonts w:hint="eastAsia"/>
          <w:szCs w:val="21"/>
        </w:rPr>
        <w:t>生境适宜性指数，对比分析不同</w:t>
      </w:r>
      <w:r w:rsidRPr="00457025">
        <w:rPr>
          <w:szCs w:val="21"/>
        </w:rPr>
        <w:t>PDO</w:t>
      </w:r>
      <w:r w:rsidRPr="00457025">
        <w:rPr>
          <w:rFonts w:hint="eastAsia"/>
          <w:szCs w:val="21"/>
        </w:rPr>
        <w:t>时期内东海日本</w:t>
      </w:r>
      <w:proofErr w:type="gramStart"/>
      <w:r w:rsidRPr="00457025">
        <w:rPr>
          <w:rFonts w:hint="eastAsia"/>
          <w:szCs w:val="21"/>
        </w:rPr>
        <w:t>鲭</w:t>
      </w:r>
      <w:proofErr w:type="gramEnd"/>
      <w:r w:rsidRPr="00457025">
        <w:rPr>
          <w:rFonts w:hint="eastAsia"/>
          <w:szCs w:val="21"/>
        </w:rPr>
        <w:t>的生境时空变动。结果显示，</w:t>
      </w:r>
      <w:r w:rsidRPr="00457025">
        <w:rPr>
          <w:szCs w:val="21"/>
        </w:rPr>
        <w:t>PDO</w:t>
      </w:r>
      <w:r w:rsidRPr="00457025">
        <w:rPr>
          <w:rFonts w:hint="eastAsia"/>
          <w:szCs w:val="21"/>
        </w:rPr>
        <w:t>指数与各水层温度距平值呈显著负相关关系。</w:t>
      </w:r>
      <w:r w:rsidRPr="00457025">
        <w:rPr>
          <w:szCs w:val="21"/>
        </w:rPr>
        <w:t>PDO</w:t>
      </w:r>
      <w:r w:rsidRPr="00457025">
        <w:rPr>
          <w:rFonts w:hint="eastAsia"/>
          <w:szCs w:val="21"/>
        </w:rPr>
        <w:t>冷期内，日本鲭渔场各水层温度距平值较高，适宜的温度范围较广，</w:t>
      </w:r>
      <w:r w:rsidRPr="00457025">
        <w:rPr>
          <w:szCs w:val="21"/>
        </w:rPr>
        <w:t>2.5 m</w:t>
      </w:r>
      <w:r w:rsidRPr="00457025">
        <w:rPr>
          <w:rFonts w:hint="eastAsia"/>
          <w:szCs w:val="21"/>
        </w:rPr>
        <w:t>和</w:t>
      </w:r>
      <w:r w:rsidRPr="00457025">
        <w:rPr>
          <w:szCs w:val="21"/>
        </w:rPr>
        <w:t>50 m</w:t>
      </w:r>
      <w:r w:rsidRPr="00457025">
        <w:rPr>
          <w:rFonts w:hint="eastAsia"/>
          <w:szCs w:val="21"/>
        </w:rPr>
        <w:t>水层适宜的温度面积比例明显高于</w:t>
      </w:r>
      <w:r w:rsidRPr="00457025">
        <w:rPr>
          <w:szCs w:val="21"/>
        </w:rPr>
        <w:t>PDO</w:t>
      </w:r>
      <w:r w:rsidRPr="00457025">
        <w:rPr>
          <w:rFonts w:hint="eastAsia"/>
          <w:szCs w:val="21"/>
        </w:rPr>
        <w:t>暖期，</w:t>
      </w:r>
      <w:r w:rsidRPr="00457025">
        <w:rPr>
          <w:szCs w:val="21"/>
        </w:rPr>
        <w:t>2.5 m</w:t>
      </w:r>
      <w:r w:rsidRPr="00457025">
        <w:rPr>
          <w:rFonts w:hint="eastAsia"/>
          <w:szCs w:val="21"/>
        </w:rPr>
        <w:t>水层不适宜的温度面积比例明显低于</w:t>
      </w:r>
      <w:r w:rsidRPr="00457025">
        <w:rPr>
          <w:szCs w:val="21"/>
        </w:rPr>
        <w:t>PDO</w:t>
      </w:r>
      <w:r w:rsidRPr="00457025">
        <w:rPr>
          <w:rFonts w:hint="eastAsia"/>
          <w:szCs w:val="21"/>
        </w:rPr>
        <w:t>暖期，各水层温度适宜性指数重心向西北方向偏移。相较于</w:t>
      </w:r>
      <w:r w:rsidRPr="00457025">
        <w:rPr>
          <w:szCs w:val="21"/>
        </w:rPr>
        <w:t>PDO</w:t>
      </w:r>
      <w:r w:rsidRPr="00457025">
        <w:rPr>
          <w:rFonts w:hint="eastAsia"/>
          <w:szCs w:val="21"/>
        </w:rPr>
        <w:t>暖期，</w:t>
      </w:r>
      <w:r w:rsidRPr="00457025">
        <w:rPr>
          <w:szCs w:val="21"/>
        </w:rPr>
        <w:t>PDO</w:t>
      </w:r>
      <w:r w:rsidRPr="00457025">
        <w:rPr>
          <w:rFonts w:hint="eastAsia"/>
          <w:szCs w:val="21"/>
        </w:rPr>
        <w:t>冷期内生境适宜性较高，适宜生境面积比例较高，不适宜生境面积比例较低，渔场的经度重心偏西，纬度重心偏北。研究表明，</w:t>
      </w:r>
      <w:r w:rsidRPr="00457025">
        <w:rPr>
          <w:szCs w:val="21"/>
        </w:rPr>
        <w:t>PDO</w:t>
      </w:r>
      <w:r w:rsidRPr="00457025">
        <w:rPr>
          <w:rFonts w:hint="eastAsia"/>
          <w:szCs w:val="21"/>
        </w:rPr>
        <w:t>冷暖位相转换对东海日本</w:t>
      </w:r>
      <w:proofErr w:type="gramStart"/>
      <w:r w:rsidRPr="00457025">
        <w:rPr>
          <w:rFonts w:hint="eastAsia"/>
          <w:szCs w:val="21"/>
        </w:rPr>
        <w:t>鲭</w:t>
      </w:r>
      <w:proofErr w:type="gramEnd"/>
      <w:r w:rsidRPr="00457025">
        <w:rPr>
          <w:rFonts w:hint="eastAsia"/>
          <w:szCs w:val="21"/>
        </w:rPr>
        <w:t>的生境分布变动具有显著的影响。</w:t>
      </w:r>
    </w:p>
    <w:p w:rsidR="005C7BDC" w:rsidRPr="00457025" w:rsidRDefault="005C7BDC" w:rsidP="005C7BDC">
      <w:pPr>
        <w:adjustRightInd w:val="0"/>
        <w:snapToGrid w:val="0"/>
        <w:spacing w:line="300" w:lineRule="auto"/>
        <w:rPr>
          <w:szCs w:val="21"/>
        </w:rPr>
      </w:pPr>
      <w:r w:rsidRPr="001A5606">
        <w:rPr>
          <w:rFonts w:hint="eastAsia"/>
          <w:b/>
          <w:bCs/>
          <w:sz w:val="22"/>
          <w:szCs w:val="21"/>
        </w:rPr>
        <w:t>关键词</w:t>
      </w:r>
      <w:r w:rsidRPr="001A5606">
        <w:rPr>
          <w:rFonts w:hint="eastAsia"/>
          <w:sz w:val="22"/>
          <w:szCs w:val="21"/>
        </w:rPr>
        <w:t>：</w:t>
      </w:r>
      <w:r w:rsidRPr="00457025">
        <w:rPr>
          <w:rFonts w:hint="eastAsia"/>
          <w:szCs w:val="21"/>
        </w:rPr>
        <w:t>日本</w:t>
      </w:r>
      <w:proofErr w:type="gramStart"/>
      <w:r w:rsidRPr="00457025">
        <w:rPr>
          <w:rFonts w:hint="eastAsia"/>
          <w:szCs w:val="21"/>
        </w:rPr>
        <w:t>鲭</w:t>
      </w:r>
      <w:proofErr w:type="gramEnd"/>
      <w:r w:rsidRPr="00457025">
        <w:rPr>
          <w:rFonts w:hint="eastAsia"/>
          <w:szCs w:val="21"/>
        </w:rPr>
        <w:t>；太平洋年代</w:t>
      </w:r>
      <w:proofErr w:type="gramStart"/>
      <w:r w:rsidRPr="00457025">
        <w:rPr>
          <w:rFonts w:hint="eastAsia"/>
          <w:szCs w:val="21"/>
        </w:rPr>
        <w:t>际涛动</w:t>
      </w:r>
      <w:proofErr w:type="gramEnd"/>
      <w:r w:rsidRPr="00457025">
        <w:rPr>
          <w:rFonts w:hint="eastAsia"/>
          <w:szCs w:val="21"/>
        </w:rPr>
        <w:t>；不同水层温度；生境分布；</w:t>
      </w:r>
      <w:r w:rsidRPr="00457025">
        <w:rPr>
          <w:szCs w:val="21"/>
        </w:rPr>
        <w:t xml:space="preserve"> </w:t>
      </w:r>
    </w:p>
    <w:p w:rsidR="005C7BDC" w:rsidRPr="00B35076" w:rsidRDefault="005C7BDC" w:rsidP="005C7BDC">
      <w:pPr>
        <w:spacing w:line="360" w:lineRule="auto"/>
        <w:rPr>
          <w:u w:val="single"/>
        </w:rPr>
      </w:pPr>
      <w:r>
        <w:rPr>
          <w:u w:val="single"/>
        </w:rPr>
        <w:t>注：作者姓名加粗和下划线的为</w:t>
      </w:r>
      <w:r w:rsidRPr="00B35076">
        <w:rPr>
          <w:u w:val="single"/>
        </w:rPr>
        <w:t>汇报人。</w:t>
      </w:r>
    </w:p>
    <w:p w:rsidR="009E0F0C" w:rsidRPr="005C7BDC" w:rsidRDefault="009E0F0C"/>
    <w:sectPr w:rsidR="009E0F0C" w:rsidRPr="005C7BDC" w:rsidSect="00716BC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A1" w:rsidRDefault="003C3AA1" w:rsidP="005C7BDC">
      <w:r>
        <w:separator/>
      </w:r>
    </w:p>
  </w:endnote>
  <w:endnote w:type="continuationSeparator" w:id="0">
    <w:p w:rsidR="003C3AA1" w:rsidRDefault="003C3AA1" w:rsidP="005C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A1" w:rsidRDefault="003C3AA1" w:rsidP="005C7BDC">
      <w:r>
        <w:separator/>
      </w:r>
    </w:p>
  </w:footnote>
  <w:footnote w:type="continuationSeparator" w:id="0">
    <w:p w:rsidR="003C3AA1" w:rsidRDefault="003C3AA1" w:rsidP="005C7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0D"/>
    <w:rsid w:val="003C3AA1"/>
    <w:rsid w:val="005C7BDC"/>
    <w:rsid w:val="007E650D"/>
    <w:rsid w:val="009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DC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BDC"/>
    <w:rPr>
      <w:sz w:val="18"/>
      <w:szCs w:val="18"/>
    </w:rPr>
  </w:style>
  <w:style w:type="table" w:styleId="a5">
    <w:name w:val="Table Grid"/>
    <w:basedOn w:val="a1"/>
    <w:uiPriority w:val="39"/>
    <w:rsid w:val="005C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C7B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DC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BDC"/>
    <w:rPr>
      <w:sz w:val="18"/>
      <w:szCs w:val="18"/>
    </w:rPr>
  </w:style>
  <w:style w:type="table" w:styleId="a5">
    <w:name w:val="Table Grid"/>
    <w:basedOn w:val="a1"/>
    <w:uiPriority w:val="39"/>
    <w:rsid w:val="005C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C7B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shou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wyu</dc:creator>
  <cp:keywords/>
  <dc:description/>
  <cp:lastModifiedBy>wyu</cp:lastModifiedBy>
  <cp:revision>2</cp:revision>
  <dcterms:created xsi:type="dcterms:W3CDTF">2022-07-31T06:21:00Z</dcterms:created>
  <dcterms:modified xsi:type="dcterms:W3CDTF">2022-07-31T06:21:00Z</dcterms:modified>
</cp:coreProperties>
</file>